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spacing w:before="144" w:after="144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Рекомендации для формирования стоимости работ по техническому обслуживанию и ремонту энергетического оборудования.</w:t>
      </w:r>
      <w:r>
        <w:rPr>
          <w:rFonts w:eastAsia="Calibri"/>
          <w:b/>
          <w:bCs/>
        </w:rPr>
      </w:r>
    </w:p>
    <w:p>
      <w:pPr>
        <w:jc w:val="center"/>
        <w:spacing w:before="144" w:after="144"/>
      </w:pPr>
      <w:r/>
      <w:r/>
    </w:p>
    <w:p>
      <w:pPr>
        <w:pStyle w:val="741"/>
        <w:numPr>
          <w:ilvl w:val="0"/>
          <w:numId w:val="24"/>
        </w:numPr>
        <w:jc w:val="center"/>
        <w:keepLines/>
        <w:spacing w:before="0" w:after="0"/>
        <w:widowControl/>
        <w:rPr>
          <w:rStyle w:val="788"/>
          <w:rFonts w:ascii="Times New Roman" w:hAnsi="Times New Roman" w:cs="Times New Roman"/>
          <w:sz w:val="24"/>
          <w:szCs w:val="24"/>
        </w:rPr>
      </w:pPr>
      <w:r>
        <w:rPr>
          <w:rStyle w:val="788"/>
          <w:rFonts w:ascii="Times New Roman" w:hAnsi="Times New Roman" w:cs="Times New Roman"/>
          <w:sz w:val="24"/>
          <w:szCs w:val="24"/>
        </w:rPr>
        <w:t xml:space="preserve">ПОРЯДОК ПРИМЕНЕНИЯ НОРМАТИВНОЙ БАЗЫ ПРИ РАЗРАБОТКЕ СМЕТНОЙ ДОКУМЕНТАЦИИ</w:t>
      </w:r>
      <w:r>
        <w:rPr>
          <w:rStyle w:val="788"/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240"/>
      </w:pPr>
      <w:r/>
      <w:r/>
    </w:p>
    <w:p>
      <w:pPr>
        <w:numPr>
          <w:ilvl w:val="1"/>
          <w:numId w:val="24"/>
        </w:numPr>
        <w:ind w:left="0" w:firstLine="0"/>
        <w:jc w:val="both"/>
        <w:spacing w:after="120"/>
        <w:tabs>
          <w:tab w:val="num" w:pos="0" w:leader="none"/>
          <w:tab w:val="clear" w:pos="360" w:leader="none"/>
        </w:tabs>
      </w:pPr>
      <w:r/>
      <w:bookmarkStart w:id="1" w:name="undefined"/>
      <w:r>
        <w:rPr>
          <w:rFonts w:eastAsia="Calibri"/>
        </w:rPr>
        <w:t xml:space="preserve">Сметная документация на техническое обслуживание и ремонт энергооборудования (далее –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) составляется на основе исходных данных Заказчика (ведомостей объёмов работ, технических заданий, прилагаемых к ним спецификаций и т.п.) в составе Технического задания.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Основн</w:t>
      </w:r>
      <w:r>
        <w:rPr>
          <w:rFonts w:eastAsia="Calibri"/>
        </w:rPr>
        <w:t xml:space="preserve">ыми видами расчётов стоимости работ являются сметные расчеты, сформированные базисно-индексным методом на основании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r>
        <w:rPr>
          <w:rFonts w:eastAsia="Calibri"/>
        </w:rPr>
        <w:t xml:space="preserve">техперевооружению</w:t>
      </w:r>
      <w:r>
        <w:rPr>
          <w:rFonts w:eastAsia="Calibri"/>
        </w:rPr>
        <w:t xml:space="preserve">» (далее - БЦ РЭО) и Дополнений к ним.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случае отсутствия цен в БЦ РЭО следует руководствоваться следующей приоритетностью выбора методов расчета сметной стоимости:</w:t>
      </w:r>
      <w:r/>
    </w:p>
    <w:p>
      <w:pPr>
        <w:numPr>
          <w:ilvl w:val="2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Калькуляции;</w:t>
      </w:r>
      <w:r/>
    </w:p>
    <w:p>
      <w:pPr>
        <w:numPr>
          <w:ilvl w:val="2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«Прейскуранты ОРГРЭС» и иные Ведомственные сборники.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Базовые цены предназначены для оценки затрат на работы по ремонту энергооборудования, выполняемые ремонтными п</w:t>
      </w:r>
      <w:r>
        <w:rPr>
          <w:rFonts w:eastAsia="Calibri"/>
        </w:rPr>
        <w:t xml:space="preserve">редприятиями и персоналом электростанций как на месте установки оборудования, так и на производственных базах ремонтных предприятий. Базовые цены не применяются для оценки затрат на работы по ремонту энергооборудования, выполняемому на заводе-изготовителе.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К БЦ РЭО применяется поправочный индекс. Уровень предельных значений поправочного индекса при пересчете в текущие цены принимается на уровне, не выше установленного Заказчиком.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БЦ РЭО не учтены: стоимость материалов и запасных частей, доплата за выполнение работ в тяжелых и особо тяжелых, вредных и особо вредных условиях труда (кроме частей 13, 14 БЦ РЭО), доплата по районно</w:t>
      </w:r>
      <w:r>
        <w:rPr>
          <w:rFonts w:eastAsia="Calibri"/>
        </w:rPr>
        <w:t xml:space="preserve">му коэффициенту, а также процентные надбавки к заработной плате и другие льготы, предусмотренные для районов Крайнего Севера, приравненных к ним местностей и остальных районов Севера. Порядок применения доплат приводится в «Общих положениях» частей БЦ РЭО.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При формировании сметной документации необходимо учитывать разъяснения ЗАО «ЦКБ </w:t>
      </w:r>
      <w:r>
        <w:rPr>
          <w:rFonts w:eastAsia="Calibri"/>
        </w:rPr>
        <w:t xml:space="preserve">Энергоремонт</w:t>
      </w:r>
      <w:r>
        <w:rPr>
          <w:rFonts w:eastAsia="Calibri"/>
        </w:rPr>
        <w:t xml:space="preserve">», изложенные в периодических изданиях «Систематизированный обзор разъяснений по вопросам применения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r>
        <w:rPr>
          <w:rFonts w:eastAsia="Calibri"/>
        </w:rPr>
        <w:t xml:space="preserve">техперевооружению</w:t>
      </w:r>
      <w:r>
        <w:rPr>
          <w:rFonts w:eastAsia="Calibri"/>
        </w:rPr>
        <w:t xml:space="preserve">».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БЦ РЭО установлены на определенный</w:t>
      </w:r>
      <w:r>
        <w:rPr>
          <w:rFonts w:eastAsia="Calibri"/>
        </w:rPr>
        <w:t xml:space="preserve"> состав и объем ремонтных работ. В случаях, когда фактически выполненный подрядчиком состав и объем ремонтных работ не соответствует установленному в базовых ценах, стоимость данных работ рекомендуется определять по калькуляции, согласованной с заказчиком.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Коэффициенты, установленные непосредственно к таблицам и разделам БЦ РЭО, определяют величину доплаты или скидки к базовой цене. Величину цены, при </w:t>
      </w:r>
      <w:r>
        <w:rPr>
          <w:rFonts w:eastAsia="Calibri"/>
        </w:rPr>
        <w:t xml:space="preserve">одновременном применении нескольких коэффициентов, следует определять по следующей формуле:</w:t>
      </w:r>
      <w:r/>
    </w:p>
    <w:p>
      <w:pPr>
        <w:jc w:val="both"/>
        <w:spacing w:before="120" w:after="120"/>
      </w:pPr>
      <w:r>
        <w:rPr>
          <w:rFonts w:eastAsia="Calibri"/>
        </w:rPr>
        <w:t xml:space="preserve">Ц = </w:t>
      </w:r>
      <w:r>
        <w:rPr>
          <w:rFonts w:eastAsia="Calibri"/>
        </w:rPr>
        <w:t xml:space="preserve">Цбц</w:t>
      </w:r>
      <w:r>
        <w:rPr>
          <w:rFonts w:eastAsia="Calibri"/>
        </w:rPr>
        <w:t xml:space="preserve"> + </w:t>
      </w:r>
      <w:r>
        <w:rPr>
          <w:rFonts w:eastAsia="Calibri"/>
        </w:rPr>
        <w:t xml:space="preserve">Цбц</w:t>
      </w:r>
      <w:r>
        <w:rPr>
          <w:rFonts w:eastAsia="Calibri"/>
        </w:rPr>
        <w:t xml:space="preserve"> (К1 – 1) – </w:t>
      </w:r>
      <w:r>
        <w:rPr>
          <w:rFonts w:eastAsia="Calibri"/>
        </w:rPr>
        <w:t xml:space="preserve">Цбц</w:t>
      </w:r>
      <w:r>
        <w:rPr>
          <w:rFonts w:eastAsia="Calibri"/>
        </w:rPr>
        <w:t xml:space="preserve"> (1 – К2) + или -</w:t>
      </w:r>
      <w:r>
        <w:rPr>
          <w:rFonts w:eastAsia="Calibri"/>
        </w:rPr>
        <w:t xml:space="preserve"> ….</w:t>
      </w:r>
      <w:r>
        <w:rPr>
          <w:rFonts w:eastAsia="Calibri"/>
        </w:rPr>
        <w:t xml:space="preserve">., при К1&gt;1 – это доплата, при К2&lt;1 – это скидка.</w:t>
      </w:r>
      <w:r/>
    </w:p>
    <w:p>
      <w:pPr>
        <w:jc w:val="both"/>
        <w:spacing w:before="120" w:after="120"/>
      </w:pPr>
      <w:r>
        <w:rPr>
          <w:rFonts w:eastAsia="Calibri"/>
        </w:rPr>
        <w:t xml:space="preserve">Применение коэффициентов должно производиться путем последовательного прибавления или вычитания величины доплат и скидок к базовой цене, предусмотренных коэффициентами.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</w:tabs>
      </w:pPr>
      <w:r>
        <w:rPr>
          <w:rFonts w:eastAsia="Calibri"/>
        </w:rPr>
        <w:t xml:space="preserve">В БЦ РЭО учтены затраты подрядчика на разработку проекта производства работ (ППР) и не учтены затраты на разработку технологических документов на ремонт.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Согласно «Общим положениям» частей БЦ РЭО в работах по ремонту энергооборудования не учтены затраты по доставке материально-технических ресурсов (далее – МТР), используемых при ремон</w:t>
      </w:r>
      <w:r>
        <w:rPr>
          <w:rFonts w:eastAsia="Calibri"/>
        </w:rPr>
        <w:t xml:space="preserve">те, от склада до рабочей площадки, но учтены затраты по их перемещению на рабочей площадке. Стоимость работ по доставке МТР от склада до рабочей площадки и погрузо-разгрузочных работ определяется на основании Федеральных единичных расценок или калькуляций.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МТР, используемые при производстве работ по ремонту энергетического оборудования, отражаются в сметной документации отдельными разделами:</w:t>
      </w:r>
      <w:r/>
    </w:p>
    <w:p>
      <w:pPr>
        <w:numPr>
          <w:ilvl w:val="2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МТР Подрядчика;</w:t>
      </w:r>
      <w:r/>
    </w:p>
    <w:p>
      <w:pPr>
        <w:numPr>
          <w:ilvl w:val="2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МТР Заказчика.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Стоимость материалов и запасных частей, используемых при ремонте энергооборудования, определяется следующими методами (в порядке их приоритетности):</w:t>
      </w:r>
      <w:r/>
    </w:p>
    <w:p>
      <w:pPr>
        <w:numPr>
          <w:ilvl w:val="2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на основе договорных цен с производителями и цен, приведенных в прайс-листах, с учетом транспортных и заготовительно-складских расходов (далее - ТЗСР).</w:t>
      </w:r>
      <w:r/>
    </w:p>
    <w:p>
      <w:pPr>
        <w:jc w:val="both"/>
        <w:spacing w:before="120" w:after="120"/>
        <w:tabs>
          <w:tab w:val="num" w:pos="0" w:leader="none"/>
        </w:tabs>
      </w:pPr>
      <w:r>
        <w:t xml:space="preserve">Предельный уровень ТЗСР к текущей стоимости МТР может быть применен в размере не более 5% от стоимости материалов, не более 3% от стоимости оборудования и запасных частей в случае, если указанные затраты не учтены в текущей цене МТР.</w:t>
      </w:r>
      <w:r/>
    </w:p>
    <w:p>
      <w:pPr>
        <w:jc w:val="both"/>
        <w:spacing w:before="120" w:after="120"/>
        <w:tabs>
          <w:tab w:val="num" w:pos="0" w:leader="none"/>
        </w:tabs>
      </w:pPr>
      <w:r>
        <w:rPr>
          <w:rFonts w:eastAsia="Calibri"/>
        </w:rPr>
        <w:t xml:space="preserve">Уровень ТЗСР, превышающий указанное предельное значение, возможно в исключительных случаях, например:</w:t>
      </w:r>
      <w:r/>
    </w:p>
    <w:p>
      <w:pPr>
        <w:pStyle w:val="777"/>
        <w:numPr>
          <w:ilvl w:val="0"/>
          <w:numId w:val="26"/>
        </w:numPr>
        <w:ind w:left="0" w:firstLine="0"/>
        <w:jc w:val="both"/>
        <w:spacing w:before="120" w:after="120"/>
        <w:widowControl/>
        <w:tabs>
          <w:tab w:val="num" w:pos="0" w:leader="none"/>
        </w:tabs>
      </w:pPr>
      <w:r>
        <w:rPr>
          <w:rFonts w:eastAsia="Calibri"/>
        </w:rPr>
        <w:t xml:space="preserve">при доставке импортного и/или негабаритного оборудования от завода-изготовителя, подтверждённой транспортной схемой, документами логистических компаний и т.п.;</w:t>
      </w:r>
      <w:r/>
    </w:p>
    <w:p>
      <w:pPr>
        <w:pStyle w:val="777"/>
        <w:numPr>
          <w:ilvl w:val="0"/>
          <w:numId w:val="26"/>
        </w:numPr>
        <w:ind w:left="0" w:firstLine="0"/>
        <w:jc w:val="both"/>
        <w:spacing w:before="120" w:after="120"/>
        <w:widowControl/>
        <w:tabs>
          <w:tab w:val="num" w:pos="0" w:leader="none"/>
        </w:tabs>
      </w:pPr>
      <w:r>
        <w:rPr>
          <w:rFonts w:eastAsia="Calibri"/>
        </w:rPr>
        <w:t xml:space="preserve">в случае особой удалённости и труднодоступности объекта, при соответствующем обосновании.</w:t>
      </w:r>
      <w:r/>
    </w:p>
    <w:p>
      <w:pPr>
        <w:numPr>
          <w:ilvl w:val="2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на основе каталога текущих цен в строительстве для субъектов Российской Федерации (при наличии);</w:t>
      </w:r>
      <w:r/>
    </w:p>
    <w:p>
      <w:pPr>
        <w:numPr>
          <w:ilvl w:val="2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на основе сборника сметных цен ФССЦ 81-01-2001 «Федеральные сметные цены на материалы, изделия и конструкции, применяемые в строительстве».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Номенклатура и количество расходуемых МТР определяется на основании номенклатуры и объемов выполняемых работ, но не может превышать нормы расхода МТР, регламентированные действующими сметно-нормативными базами или нормы заводов-изготовителей.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составе накладных расходов БЦ РЭО учтены затраты на составление сметной документации, соответственно в сметных расчетах указанные затраты дополнительно не учитываются.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БЦ РЭО учтены затраты на применение необходимых в соответствии с технологией производства работ ручных и электрических лебёдок, за исключением части 21, в которой приведён раздел 01 «Средства механизации, оснастка и леса».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сметную документацию на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энергооборудования </w:t>
      </w:r>
      <w:r>
        <w:rPr>
          <w:rFonts w:eastAsia="Calibri"/>
          <w:b/>
        </w:rPr>
        <w:t xml:space="preserve">недопустимо</w:t>
      </w:r>
      <w:r>
        <w:rPr>
          <w:rFonts w:eastAsia="Calibri"/>
        </w:rPr>
        <w:t xml:space="preserve"> включение «непредвиденных затрат».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случае обоснованной необходимости, рекомендуется дополнительно учитывать ряд затрат подрядчика, связанных с выполнением им ремонтных работ, в частности:</w:t>
      </w:r>
      <w:r/>
    </w:p>
    <w:p>
      <w:pPr>
        <w:numPr>
          <w:ilvl w:val="0"/>
          <w:numId w:val="25"/>
        </w:numPr>
        <w:ind w:left="0" w:firstLine="0"/>
        <w:jc w:val="both"/>
        <w:spacing w:after="200"/>
        <w:tabs>
          <w:tab w:val="num" w:pos="142" w:leader="none"/>
          <w:tab w:val="left" w:pos="1134" w:leader="none"/>
        </w:tabs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з</w:t>
      </w:r>
      <w:r>
        <w:rPr>
          <w:rFonts w:eastAsia="Calibri"/>
        </w:rPr>
        <w:t xml:space="preserve">атраты по доставке давальческих материалов и запасных частей к месту ремонта (изготовления), затраты производственных баз ремонтных предприятий на погрузку-разгрузку оборудования (узлов), подлежащего ремонту, или отремонтированного (изготовленного) и т.д.;</w:t>
      </w:r>
      <w:r/>
    </w:p>
    <w:p>
      <w:pPr>
        <w:numPr>
          <w:ilvl w:val="0"/>
          <w:numId w:val="25"/>
        </w:numPr>
        <w:ind w:left="0" w:firstLine="0"/>
        <w:jc w:val="both"/>
        <w:spacing w:after="200"/>
        <w:tabs>
          <w:tab w:val="num" w:pos="142" w:leader="none"/>
          <w:tab w:val="left" w:pos="1134" w:leader="none"/>
        </w:tabs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затраты на предоставление заказчиком подрядчику на период производства ремонтных работ служебных, производственных, бытовых помещений, их обеспечение теплом, электроэнергией и водой;</w:t>
      </w:r>
      <w:r/>
    </w:p>
    <w:p>
      <w:pPr>
        <w:numPr>
          <w:ilvl w:val="0"/>
          <w:numId w:val="25"/>
        </w:numPr>
        <w:ind w:left="0" w:firstLine="0"/>
        <w:jc w:val="both"/>
        <w:spacing w:after="200"/>
        <w:tabs>
          <w:tab w:val="num" w:pos="142" w:leader="none"/>
          <w:tab w:val="left" w:pos="1134" w:leader="none"/>
        </w:tabs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затраты на предоставление предусмотренных технологией выполнения работ отдельных машин и механизмов, в случае если указанные затраты не учтены в составе БЦ РЭО;</w:t>
      </w:r>
      <w:r/>
    </w:p>
    <w:p>
      <w:pPr>
        <w:numPr>
          <w:ilvl w:val="0"/>
          <w:numId w:val="25"/>
        </w:numPr>
        <w:ind w:left="0" w:firstLine="0"/>
        <w:jc w:val="both"/>
        <w:spacing w:after="200"/>
        <w:tabs>
          <w:tab w:val="num" w:pos="142" w:leader="none"/>
          <w:tab w:val="left" w:pos="1134" w:leader="none"/>
        </w:tabs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затраты на использование электроэнергии, топлива, пара, сжатого воздуха, воды, кислорода, ацетилена, природного и инертного газа, используемые для выполнения ремонтных работ на месте установки энергооборудования;</w:t>
      </w:r>
      <w:r/>
    </w:p>
    <w:p>
      <w:pPr>
        <w:numPr>
          <w:ilvl w:val="0"/>
          <w:numId w:val="25"/>
        </w:numPr>
        <w:ind w:left="0" w:firstLine="0"/>
        <w:jc w:val="both"/>
        <w:spacing w:after="200"/>
        <w:tabs>
          <w:tab w:val="num" w:pos="142" w:leader="none"/>
          <w:tab w:val="left" w:pos="1134" w:leader="none"/>
        </w:tabs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затраты на утилизацию, вывоз отходов, демонтированного оборудования;</w:t>
      </w:r>
      <w:r/>
    </w:p>
    <w:p>
      <w:pPr>
        <w:numPr>
          <w:ilvl w:val="0"/>
          <w:numId w:val="25"/>
        </w:numPr>
        <w:ind w:left="0" w:firstLine="0"/>
        <w:jc w:val="both"/>
        <w:spacing w:after="200"/>
        <w:tabs>
          <w:tab w:val="num" w:pos="142" w:leader="none"/>
          <w:tab w:val="left" w:pos="1134" w:leader="none"/>
        </w:tabs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прочее.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При этом взаимоотношения подрядчика и заказчика по возмещению вышеуказанных и иных дополнительных затрат, не включенных в состав Базовых цен, регулируется сторонами</w:t>
      </w:r>
      <w:r>
        <w:rPr>
          <w:rFonts w:eastAsia="Calibri"/>
        </w:rPr>
        <w:t xml:space="preserve"> при заключении договоров с учетом рекомендаций РД 153-34.1-20.602-2002 «Основные положения и требования договора на выполнение работ по ремонту оборудования электростанций», иных актуальных нормативных актов и документов, а также корпоративных стандартов.</w:t>
      </w:r>
      <w:r/>
    </w:p>
    <w:p>
      <w:pPr>
        <w:numPr>
          <w:ilvl w:val="1"/>
          <w:numId w:val="24"/>
        </w:numPr>
        <w:ind w:left="0" w:firstLine="0"/>
        <w:jc w:val="both"/>
        <w:spacing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Дополнительные затраты, такие как доставка инструмента, спецодежда, учету в составе сметной стоимости не подлежат.</w:t>
      </w:r>
      <w:r/>
    </w:p>
    <w:p>
      <w:pPr>
        <w:jc w:val="both"/>
        <w:spacing w:after="120"/>
      </w:pPr>
      <w:r/>
      <w:r/>
    </w:p>
    <w:p>
      <w:pPr>
        <w:pStyle w:val="741"/>
        <w:numPr>
          <w:ilvl w:val="0"/>
          <w:numId w:val="24"/>
        </w:numPr>
        <w:jc w:val="center"/>
        <w:keepLines/>
        <w:spacing w:before="0" w:after="0"/>
        <w:widowControl/>
        <w:rPr>
          <w:rStyle w:val="788"/>
          <w:rFonts w:ascii="Times New Roman" w:hAnsi="Times New Roman" w:cs="Times New Roman"/>
          <w:sz w:val="24"/>
          <w:szCs w:val="24"/>
        </w:rPr>
      </w:pPr>
      <w:r>
        <w:rPr>
          <w:rStyle w:val="788"/>
          <w:rFonts w:ascii="Times New Roman" w:hAnsi="Times New Roman" w:cs="Times New Roman"/>
          <w:sz w:val="24"/>
          <w:szCs w:val="24"/>
        </w:rPr>
        <w:t xml:space="preserve">ОПРЕДЕЛЕНИЕ СТОИМОСТИ РАБОТ ПО КАЛЬКУЛЯЦИИ</w:t>
      </w:r>
      <w:r>
        <w:rPr>
          <w:rStyle w:val="788"/>
          <w:rFonts w:ascii="Times New Roman" w:hAnsi="Times New Roman" w:cs="Times New Roman"/>
          <w:sz w:val="24"/>
          <w:szCs w:val="24"/>
        </w:rPr>
        <w:t xml:space="preserve">.</w:t>
      </w:r>
      <w:r>
        <w:rPr>
          <w:rStyle w:val="788"/>
          <w:rFonts w:ascii="Times New Roman" w:hAnsi="Times New Roman" w:cs="Times New Roman"/>
          <w:sz w:val="24"/>
          <w:szCs w:val="24"/>
        </w:rPr>
      </w:r>
    </w:p>
    <w:p>
      <w:pPr>
        <w:jc w:val="both"/>
      </w:pPr>
      <w:r/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Калькуляции составляются в соответствии с положениями СО 34.20.607-2005 «Методические указания по формированию смет и калькуляций на ремонт энергооборудования». При этом:</w:t>
      </w:r>
      <w:r/>
    </w:p>
    <w:p>
      <w:pPr>
        <w:numPr>
          <w:ilvl w:val="2"/>
          <w:numId w:val="24"/>
        </w:numPr>
        <w:ind w:left="12" w:hanging="12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Затраты труда определяются на основе технически обоснованных норм времени согласно действующим нормативным документам. Форма расшифровки трудовых затрат приведена в приложении 5 к СО 34.20.607-2005;</w:t>
      </w:r>
      <w:r/>
    </w:p>
    <w:p>
      <w:pPr>
        <w:numPr>
          <w:ilvl w:val="2"/>
          <w:numId w:val="24"/>
        </w:numPr>
        <w:ind w:left="12" w:hanging="12"/>
        <w:jc w:val="both"/>
        <w:spacing w:before="120" w:after="120"/>
        <w:tabs>
          <w:tab w:val="num" w:pos="0" w:leader="none"/>
          <w:tab w:val="clear" w:pos="1713" w:leader="none"/>
        </w:tabs>
      </w:pPr>
      <w:r>
        <w:rPr>
          <w:rFonts w:eastAsia="Calibri"/>
        </w:rPr>
        <w:t xml:space="preserve">Основная заработная плата определяется на основании тарифной ставки, учтенной в индексе с учетом доплат, предусмотренных действующим законодательством.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случае отсутствия норм времени в нормативных документах и справочниках, обоснование трудозатрат возможно на основе технологических карт, норм времени, утвержденных и применяемых Подрядчиком.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На цены, определённые по калькуляциям, не распространяются «Общие положения» частей БЦ РЭО.</w:t>
      </w:r>
      <w:r/>
    </w:p>
    <w:p>
      <w:pPr>
        <w:numPr>
          <w:ilvl w:val="1"/>
          <w:numId w:val="24"/>
        </w:numPr>
        <w:ind w:left="0" w:firstLine="0"/>
        <w:jc w:val="both"/>
        <w:spacing w:after="120"/>
        <w:tabs>
          <w:tab w:val="num" w:pos="0" w:leader="none"/>
          <w:tab w:val="clear" w:pos="360" w:leader="none"/>
        </w:tabs>
      </w:pPr>
      <w:r>
        <w:rPr>
          <w:rFonts w:eastAsia="Calibri"/>
        </w:rPr>
        <w:t xml:space="preserve">В исключительных случаях, когда определить стоимость работ по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на основании БЦ РЭО не представляется возможным ввиду отсутствия цен на отдельные виды работ, а подсчет фактических норм и описание объёмов работ с целью составления калькуляций </w:t>
      </w:r>
      <w:r>
        <w:rPr>
          <w:rFonts w:eastAsia="Calibri"/>
        </w:rPr>
        <w:t xml:space="preserve">затруднены, допустимо применение Ведомственных сборников, например, «Прейскурантов ОРГРЭС», ВУЕР, ВСН и т.п. При этом технология и вид работ должны однозначно соотв</w:t>
      </w:r>
      <w:r>
        <w:rPr>
          <w:rFonts w:eastAsia="Calibri"/>
        </w:rPr>
        <w:t xml:space="preserve">етствовать описанным работам в данных сборниках. Поправочные индексы пересчёта к Базовой стоимости Прейскурантов, Ведомственных сборников (ОРГРЭС, ВСН, и т.п.) должны быть обоснованы расчетами, при этом уровень индексов принимается на усмотрение Заказчика.</w:t>
      </w:r>
      <w:r/>
    </w:p>
    <w:p>
      <w:pPr>
        <w:jc w:val="both"/>
        <w:spacing w:after="120"/>
      </w:pPr>
      <w:r/>
      <w:r/>
    </w:p>
    <w:p>
      <w:pPr>
        <w:pStyle w:val="741"/>
        <w:numPr>
          <w:ilvl w:val="0"/>
          <w:numId w:val="24"/>
        </w:numPr>
        <w:jc w:val="center"/>
        <w:keepLines/>
        <w:spacing w:before="0" w:after="0"/>
        <w:widowControl/>
        <w:rPr>
          <w:rStyle w:val="788"/>
          <w:rFonts w:ascii="Times New Roman" w:hAnsi="Times New Roman" w:cs="Times New Roman"/>
          <w:sz w:val="24"/>
          <w:szCs w:val="24"/>
        </w:rPr>
      </w:pPr>
      <w:r>
        <w:rPr>
          <w:rStyle w:val="788"/>
          <w:rFonts w:ascii="Times New Roman" w:hAnsi="Times New Roman" w:cs="Times New Roman"/>
          <w:sz w:val="24"/>
          <w:szCs w:val="24"/>
        </w:rPr>
        <w:t xml:space="preserve">ПРАКТИЧЕСКИЕ РЕКОМЕНДАЦИИ ПО ОПРЕДЕЛЕНИЮ СТОИМОСТИ РАБОТ НА ТОИР ЭНЕРГЕТИЧЕСКОГО ОБОРУДОВАНИЯ.</w:t>
      </w:r>
      <w:r>
        <w:rPr>
          <w:rStyle w:val="788"/>
          <w:rFonts w:ascii="Times New Roman" w:hAnsi="Times New Roman" w:cs="Times New Roman"/>
          <w:sz w:val="24"/>
          <w:szCs w:val="24"/>
        </w:rPr>
      </w:r>
    </w:p>
    <w:p>
      <w:pPr>
        <w:jc w:val="both"/>
      </w:pPr>
      <w:r/>
      <w:r/>
    </w:p>
    <w:p>
      <w:pPr>
        <w:pStyle w:val="777"/>
        <w:numPr>
          <w:ilvl w:val="1"/>
          <w:numId w:val="24"/>
        </w:numPr>
        <w:ind w:left="0" w:firstLine="0"/>
        <w:jc w:val="both"/>
        <w:spacing w:before="120" w:after="120"/>
        <w:widowControl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Рекомендуемая форма смет, составляемых на основании БЦ РЭО, приведена в приложениях № 3, 4 к СО 34.20.607-2005.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При составлении смет по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на основании БЦ РЭО должны быть полностью учтены изменения, включённые в Дополнения к БЦ РЭО.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При составлении смет на основании БЦ РЭО и Дополнений к ним следует учитывать «Общие положения», Примечания к раз</w:t>
      </w:r>
      <w:r>
        <w:rPr>
          <w:rFonts w:eastAsia="Calibri"/>
        </w:rPr>
        <w:t xml:space="preserve">делам, таблицам и позициям в частях БЦ РЭО. При составлении сметных расчётов с использованием расценок одной из частей БЦ РЭО не допускается применение коэффициентов, приведенных в «Общих положениях» БЦ РЭО и примечаниях к разделам по другим частям БЦ РЭО.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В сметной документации подлежат расшифровке как основные, так и вспомогательные материалы.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Единицы измерения объёмов работ и МТР должны быть обоснованы в соответствии с принятыми в сборниках БЦ РЭО и иных нормативов (т, м3, м2, шт. и т.п.).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При необходимости в сметных расчетах допустим учёт командировочных затрат подрядчика согласно предварительным обосновывающим расчетам в рамках предельной цены мероприятия.</w:t>
      </w:r>
      <w:r/>
    </w:p>
    <w:p>
      <w:pPr>
        <w:jc w:val="both"/>
        <w:spacing w:before="120" w:after="120"/>
        <w:tabs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Суточные, выплачиваемые в соответствии с законодательством Российской Федерации, рекомендуется принимать в размере не более 700 рублей за каждый день нахождения в командировке на территории Российской Федерации.</w:t>
      </w:r>
      <w:r/>
    </w:p>
    <w:p>
      <w:pPr>
        <w:jc w:val="both"/>
        <w:spacing w:before="120" w:after="120"/>
        <w:tabs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Затраты на проезд и проживание рекомендуется учитывать по наиболее экономичному варианту, определенному на основании сбора информации о текущих ценах в регионе.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Окончательные расчеты с заказчиком за командировочные расходы производятся по фактическим затратам, подтвержденным первичными бухгалтерскими и иными отчетными документами (расчетами). При этом фактические затраты не должны превышать плановые.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При определении в сметной документации стоимости МТР на основании прайс-листов, необходимо указывать наименование организации и дату составления прайс-листа. К сметным расчетам должны быть приложены документы, обосновывающие стоимость МТР.</w:t>
      </w:r>
      <w:r/>
    </w:p>
    <w:p>
      <w:pPr>
        <w:numPr>
          <w:ilvl w:val="1"/>
          <w:numId w:val="24"/>
        </w:numPr>
        <w:ind w:left="0" w:firstLine="0"/>
        <w:jc w:val="both"/>
        <w:spacing w:before="120" w:after="120"/>
        <w:tabs>
          <w:tab w:val="clear" w:pos="360" w:leader="none"/>
          <w:tab w:val="left" w:pos="567" w:leader="none"/>
          <w:tab w:val="num" w:pos="709" w:leader="none"/>
          <w:tab w:val="left" w:pos="1134" w:leader="none"/>
        </w:tabs>
      </w:pPr>
      <w:r>
        <w:rPr>
          <w:rFonts w:eastAsia="Calibri"/>
        </w:rPr>
        <w:t xml:space="preserve">Составление смет на дополнительные работы, выявленные в процессе </w:t>
      </w:r>
      <w:r>
        <w:rPr>
          <w:rFonts w:eastAsia="Calibri"/>
        </w:rPr>
        <w:t xml:space="preserve">ТОиР</w:t>
      </w:r>
      <w:r>
        <w:rPr>
          <w:rFonts w:eastAsia="Calibri"/>
        </w:rPr>
        <w:t xml:space="preserve"> энергооборудования, производится в том же порядке, что и на основные работы.</w:t>
      </w:r>
      <w:r/>
    </w:p>
    <w:p>
      <w:pPr>
        <w:jc w:val="both"/>
      </w:pPr>
      <w:r>
        <w:rPr>
          <w:rFonts w:eastAsia="Calibri"/>
        </w:rPr>
        <w:t xml:space="preserve">В случае необходимости выполнения по результатам дефектации дополнительных работ к основному договору подряда, поправочный индекс на дополнительные работы не должен превышать значение поправочного индекса в сметных расчётах на основные работы по договору</w:t>
      </w:r>
      <w:bookmarkEnd w:id="1"/>
      <w:r>
        <w:rPr>
          <w:rFonts w:eastAsia="Calibri"/>
        </w:rPr>
        <w:t xml:space="preserve">.</w:t>
      </w:r>
      <w:r/>
    </w:p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3"/>
      <w:rPr>
        <w:rStyle w:val="767"/>
      </w:rPr>
      <w:framePr w:wrap="around" w:vAnchor="text" w:hAnchor="margin" w:xAlign="right" w:y="1"/>
    </w:pPr>
    <w:r>
      <w:rPr>
        <w:rStyle w:val="767"/>
      </w:rPr>
      <w:fldChar w:fldCharType="begin"/>
    </w:r>
    <w:r>
      <w:rPr>
        <w:rStyle w:val="767"/>
      </w:rPr>
      <w:instrText xml:space="preserve">PAGE  </w:instrText>
    </w:r>
    <w:r>
      <w:rPr>
        <w:rStyle w:val="767"/>
      </w:rPr>
      <w:fldChar w:fldCharType="separate"/>
    </w:r>
    <w:r>
      <w:rPr>
        <w:rStyle w:val="767"/>
      </w:rPr>
      <w:t xml:space="preserve">4</w:t>
    </w:r>
    <w:r>
      <w:rPr>
        <w:rStyle w:val="767"/>
      </w:rPr>
      <w:fldChar w:fldCharType="end"/>
    </w:r>
    <w:r>
      <w:rPr>
        <w:rStyle w:val="767"/>
      </w:rPr>
    </w:r>
  </w:p>
  <w:p>
    <w:pPr>
      <w:pStyle w:val="763"/>
      <w:ind w:right="360"/>
      <w:jc w:val="center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3"/>
      <w:rPr>
        <w:rStyle w:val="767"/>
      </w:rPr>
      <w:framePr w:wrap="around" w:vAnchor="text" w:hAnchor="margin" w:xAlign="right" w:y="1"/>
    </w:pPr>
    <w:r>
      <w:rPr>
        <w:rStyle w:val="767"/>
      </w:rPr>
      <w:fldChar w:fldCharType="begin"/>
    </w:r>
    <w:r>
      <w:rPr>
        <w:rStyle w:val="767"/>
      </w:rPr>
      <w:instrText xml:space="preserve">PAGE  </w:instrText>
    </w:r>
    <w:r>
      <w:rPr>
        <w:rStyle w:val="767"/>
      </w:rPr>
      <w:fldChar w:fldCharType="separate"/>
    </w:r>
    <w:r>
      <w:rPr>
        <w:rStyle w:val="767"/>
      </w:rPr>
      <w:t xml:space="preserve">21</w:t>
    </w:r>
    <w:r>
      <w:rPr>
        <w:rStyle w:val="767"/>
      </w:rPr>
      <w:fldChar w:fldCharType="end"/>
    </w:r>
    <w:r>
      <w:rPr>
        <w:rStyle w:val="767"/>
      </w:rPr>
    </w:r>
  </w:p>
  <w:p>
    <w:pPr>
      <w:pStyle w:val="76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 w:ascii="Times New Roman" w:hAnsi="Times New Roman" w:cs="Times New Roman"/>
        <w:sz w:val="22"/>
        <w:szCs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6.10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7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039" w:hanging="360"/>
        <w:tabs>
          <w:tab w:val="num" w:pos="503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5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  <w:tabs>
          <w:tab w:val="num" w:pos="106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  <w:tabs>
          <w:tab w:val="num" w:pos="108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  <w:tabs>
          <w:tab w:val="num" w:pos="144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  <w:tabs>
          <w:tab w:val="num" w:pos="180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  <w:tabs>
          <w:tab w:val="num" w:pos="216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8" w:hanging="360"/>
        <w:tabs>
          <w:tab w:val="num" w:pos="178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2073" w:hanging="360"/>
      </w:pPr>
      <w:rPr>
        <w:rFonts w:hint="default"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3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9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6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17"/>
  </w:num>
  <w:num w:numId="2">
    <w:abstractNumId w:val="21"/>
  </w:num>
  <w:num w:numId="3">
    <w:abstractNumId w:val="9"/>
  </w:num>
  <w:num w:numId="4">
    <w:abstractNumId w:val="18"/>
  </w:num>
  <w:num w:numId="5">
    <w:abstractNumId w:val="8"/>
  </w:num>
  <w:num w:numId="6">
    <w:abstractNumId w:val="10"/>
  </w:num>
  <w:num w:numId="7">
    <w:abstractNumId w:val="24"/>
  </w:num>
  <w:num w:numId="8">
    <w:abstractNumId w:val="14"/>
  </w:num>
  <w:num w:numId="9">
    <w:abstractNumId w:val="1"/>
  </w:num>
  <w:num w:numId="10">
    <w:abstractNumId w:val="2"/>
  </w:num>
  <w:num w:numId="11">
    <w:abstractNumId w:val="13"/>
  </w:num>
  <w:num w:numId="12">
    <w:abstractNumId w:val="12"/>
  </w:num>
  <w:num w:numId="13">
    <w:abstractNumId w:val="5"/>
  </w:num>
  <w:num w:numId="14">
    <w:abstractNumId w:val="16"/>
  </w:num>
  <w:num w:numId="15">
    <w:abstractNumId w:val="7"/>
  </w:num>
  <w:num w:numId="16">
    <w:abstractNumId w:val="15"/>
  </w:num>
  <w:num w:numId="17">
    <w:abstractNumId w:val="0"/>
  </w:num>
  <w:num w:numId="18">
    <w:abstractNumId w:val="11"/>
  </w:num>
  <w:num w:numId="19">
    <w:abstractNumId w:val="23"/>
  </w:num>
  <w:num w:numId="20">
    <w:abstractNumId w:val="3"/>
  </w:num>
  <w:num w:numId="21">
    <w:abstractNumId w:val="20"/>
  </w:num>
  <w:num w:numId="22">
    <w:abstractNumId w:val="4"/>
  </w:num>
  <w:num w:numId="23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45"/>
    <w:link w:val="741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45"/>
    <w:link w:val="74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45"/>
    <w:link w:val="743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0"/>
    <w:next w:val="74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45"/>
    <w:link w:val="1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45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0"/>
    <w:next w:val="74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45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0"/>
    <w:next w:val="74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4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0"/>
    <w:next w:val="74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4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0"/>
    <w:next w:val="74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4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45"/>
    <w:link w:val="752"/>
    <w:uiPriority w:val="10"/>
    <w:rPr>
      <w:sz w:val="48"/>
      <w:szCs w:val="48"/>
    </w:rPr>
  </w:style>
  <w:style w:type="paragraph" w:styleId="36">
    <w:name w:val="Subtitle"/>
    <w:basedOn w:val="740"/>
    <w:next w:val="74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45"/>
    <w:link w:val="36"/>
    <w:uiPriority w:val="11"/>
    <w:rPr>
      <w:sz w:val="24"/>
      <w:szCs w:val="24"/>
    </w:rPr>
  </w:style>
  <w:style w:type="paragraph" w:styleId="38">
    <w:name w:val="Quote"/>
    <w:basedOn w:val="740"/>
    <w:next w:val="74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0"/>
    <w:next w:val="74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45"/>
    <w:link w:val="761"/>
    <w:uiPriority w:val="99"/>
  </w:style>
  <w:style w:type="character" w:styleId="45">
    <w:name w:val="Footer Char"/>
    <w:basedOn w:val="745"/>
    <w:link w:val="763"/>
    <w:uiPriority w:val="99"/>
  </w:style>
  <w:style w:type="character" w:styleId="47">
    <w:name w:val="Caption Char"/>
    <w:basedOn w:val="768"/>
    <w:link w:val="763"/>
    <w:uiPriority w:val="99"/>
  </w:style>
  <w:style w:type="table" w:styleId="49">
    <w:name w:val="Table Grid Light"/>
    <w:basedOn w:val="7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19"/>
    <w:uiPriority w:val="99"/>
    <w:rPr>
      <w:sz w:val="18"/>
    </w:rPr>
  </w:style>
  <w:style w:type="paragraph" w:styleId="178">
    <w:name w:val="endnote text"/>
    <w:basedOn w:val="74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45"/>
    <w:uiPriority w:val="99"/>
    <w:semiHidden/>
    <w:unhideWhenUsed/>
    <w:rPr>
      <w:vertAlign w:val="superscript"/>
    </w:rPr>
  </w:style>
  <w:style w:type="paragraph" w:styleId="181">
    <w:name w:val="toc 1"/>
    <w:basedOn w:val="740"/>
    <w:next w:val="74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40"/>
    <w:next w:val="74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40"/>
    <w:next w:val="74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0"/>
    <w:next w:val="74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0"/>
    <w:next w:val="74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0"/>
    <w:next w:val="74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0"/>
    <w:next w:val="74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0"/>
    <w:next w:val="74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0"/>
    <w:next w:val="74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0"/>
    <w:next w:val="740"/>
    <w:uiPriority w:val="99"/>
    <w:unhideWhenUsed/>
    <w:pPr>
      <w:spacing w:after="0" w:afterAutospacing="0"/>
    </w:pPr>
  </w:style>
  <w:style w:type="paragraph" w:styleId="74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1">
    <w:name w:val="Heading 1"/>
    <w:basedOn w:val="740"/>
    <w:next w:val="740"/>
    <w:link w:val="748"/>
    <w:qFormat/>
    <w:pPr>
      <w:keepNext/>
      <w:spacing w:before="240" w:after="60"/>
      <w:widowControl w:val="off"/>
      <w:outlineLvl w:val="0"/>
    </w:pPr>
    <w:rPr>
      <w:rFonts w:ascii="Arial" w:hAnsi="Arial" w:cs="Arial"/>
      <w:b/>
      <w:bCs/>
      <w:sz w:val="32"/>
      <w:szCs w:val="32"/>
    </w:rPr>
  </w:style>
  <w:style w:type="paragraph" w:styleId="742">
    <w:name w:val="Heading 2"/>
    <w:basedOn w:val="740"/>
    <w:next w:val="740"/>
    <w:link w:val="749"/>
    <w:qFormat/>
    <w:pPr>
      <w:jc w:val="right"/>
      <w:keepNext/>
      <w:outlineLvl w:val="1"/>
    </w:pPr>
    <w:rPr>
      <w:rFonts w:ascii="Arial" w:hAnsi="Arial" w:cs="Arial"/>
      <w:b/>
      <w:bCs/>
      <w:sz w:val="17"/>
      <w:szCs w:val="17"/>
    </w:rPr>
  </w:style>
  <w:style w:type="paragraph" w:styleId="743">
    <w:name w:val="Heading 3"/>
    <w:basedOn w:val="740"/>
    <w:next w:val="740"/>
    <w:link w:val="750"/>
    <w:qFormat/>
    <w:pPr>
      <w:keepNext/>
      <w:spacing w:before="120" w:after="120"/>
      <w:outlineLvl w:val="2"/>
    </w:pPr>
    <w:rPr>
      <w:b/>
      <w:sz w:val="28"/>
      <w:szCs w:val="20"/>
    </w:rPr>
  </w:style>
  <w:style w:type="paragraph" w:styleId="744">
    <w:name w:val="Heading 5"/>
    <w:basedOn w:val="740"/>
    <w:next w:val="740"/>
    <w:link w:val="75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745" w:default="1">
    <w:name w:val="Default Paragraph Font"/>
    <w:uiPriority w:val="1"/>
    <w:semiHidden/>
    <w:unhideWhenUsed/>
  </w:style>
  <w:style w:type="table" w:styleId="7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7" w:default="1">
    <w:name w:val="No List"/>
    <w:uiPriority w:val="99"/>
    <w:semiHidden/>
    <w:unhideWhenUsed/>
  </w:style>
  <w:style w:type="character" w:styleId="748" w:customStyle="1">
    <w:name w:val="Заголовок 1 Знак"/>
    <w:basedOn w:val="745"/>
    <w:link w:val="741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749" w:customStyle="1">
    <w:name w:val="Заголовок 2 Знак"/>
    <w:basedOn w:val="745"/>
    <w:link w:val="742"/>
    <w:rPr>
      <w:rFonts w:ascii="Arial" w:hAnsi="Arial" w:eastAsia="Times New Roman" w:cs="Arial"/>
      <w:b/>
      <w:bCs/>
      <w:sz w:val="17"/>
      <w:szCs w:val="17"/>
      <w:lang w:eastAsia="ru-RU"/>
    </w:rPr>
  </w:style>
  <w:style w:type="character" w:styleId="750" w:customStyle="1">
    <w:name w:val="Заголовок 3 Знак"/>
    <w:basedOn w:val="745"/>
    <w:link w:val="743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751" w:customStyle="1">
    <w:name w:val="Заголовок 5 Знак"/>
    <w:basedOn w:val="745"/>
    <w:link w:val="744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752">
    <w:name w:val="Title"/>
    <w:basedOn w:val="740"/>
    <w:link w:val="753"/>
    <w:uiPriority w:val="99"/>
    <w:qFormat/>
    <w:pPr>
      <w:jc w:val="center"/>
      <w:widowControl w:val="off"/>
    </w:pPr>
    <w:rPr>
      <w:b/>
      <w:bCs/>
    </w:rPr>
  </w:style>
  <w:style w:type="character" w:styleId="753" w:customStyle="1">
    <w:name w:val="Заголовок Знак"/>
    <w:basedOn w:val="745"/>
    <w:link w:val="752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754">
    <w:name w:val="annotation reference"/>
    <w:semiHidden/>
    <w:rPr>
      <w:sz w:val="16"/>
      <w:szCs w:val="16"/>
    </w:rPr>
  </w:style>
  <w:style w:type="paragraph" w:styleId="755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756" w:customStyle="1">
    <w:name w:val="Таблицы (моноширинный)"/>
    <w:basedOn w:val="740"/>
    <w:next w:val="740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757">
    <w:name w:val="Body Text Indent 2"/>
    <w:basedOn w:val="740"/>
    <w:link w:val="758"/>
    <w:pPr>
      <w:ind w:left="1843"/>
      <w:jc w:val="both"/>
      <w:widowControl w:val="off"/>
    </w:pPr>
    <w:rPr>
      <w:szCs w:val="20"/>
    </w:rPr>
  </w:style>
  <w:style w:type="character" w:styleId="758" w:customStyle="1">
    <w:name w:val="Основной текст с отступом 2 Знак"/>
    <w:basedOn w:val="745"/>
    <w:link w:val="757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759">
    <w:name w:val="Balloon Text"/>
    <w:basedOn w:val="740"/>
    <w:link w:val="760"/>
    <w:uiPriority w:val="99"/>
    <w:semiHidden/>
    <w:pPr>
      <w:widowControl w:val="off"/>
    </w:pPr>
    <w:rPr>
      <w:rFonts w:ascii="Tahoma" w:hAnsi="Tahoma" w:cs="Tahoma"/>
      <w:sz w:val="16"/>
      <w:szCs w:val="16"/>
    </w:rPr>
  </w:style>
  <w:style w:type="character" w:styleId="760" w:customStyle="1">
    <w:name w:val="Текст выноски Знак"/>
    <w:basedOn w:val="745"/>
    <w:link w:val="75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761">
    <w:name w:val="Header"/>
    <w:basedOn w:val="740"/>
    <w:link w:val="762"/>
    <w:pPr>
      <w:widowControl w:val="off"/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762" w:customStyle="1">
    <w:name w:val="Верхний колонтитул Знак"/>
    <w:basedOn w:val="745"/>
    <w:link w:val="76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63">
    <w:name w:val="Footer"/>
    <w:basedOn w:val="740"/>
    <w:link w:val="764"/>
    <w:pPr>
      <w:widowControl w:val="off"/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764" w:customStyle="1">
    <w:name w:val="Нижний колонтитул Знак"/>
    <w:basedOn w:val="745"/>
    <w:link w:val="76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65">
    <w:name w:val="Body Text 2"/>
    <w:basedOn w:val="740"/>
    <w:link w:val="766"/>
    <w:pPr>
      <w:spacing w:after="120" w:line="480" w:lineRule="auto"/>
    </w:pPr>
  </w:style>
  <w:style w:type="character" w:styleId="766" w:customStyle="1">
    <w:name w:val="Основной текст 2 Знак"/>
    <w:basedOn w:val="745"/>
    <w:link w:val="76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7">
    <w:name w:val="page number"/>
    <w:basedOn w:val="745"/>
  </w:style>
  <w:style w:type="paragraph" w:styleId="768">
    <w:name w:val="Caption"/>
    <w:basedOn w:val="740"/>
    <w:qFormat/>
    <w:pPr>
      <w:jc w:val="center"/>
    </w:pPr>
    <w:rPr>
      <w:b/>
      <w:szCs w:val="20"/>
    </w:rPr>
  </w:style>
  <w:style w:type="paragraph" w:styleId="769">
    <w:name w:val="annotation text"/>
    <w:basedOn w:val="740"/>
    <w:link w:val="770"/>
    <w:semiHidden/>
    <w:rPr>
      <w:sz w:val="20"/>
      <w:szCs w:val="20"/>
    </w:rPr>
  </w:style>
  <w:style w:type="character" w:styleId="770" w:customStyle="1">
    <w:name w:val="Текст примечания Знак"/>
    <w:basedOn w:val="745"/>
    <w:link w:val="76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71">
    <w:name w:val="annotation subject"/>
    <w:basedOn w:val="769"/>
    <w:next w:val="769"/>
    <w:link w:val="772"/>
    <w:semiHidden/>
    <w:rPr>
      <w:b/>
      <w:bCs/>
    </w:rPr>
  </w:style>
  <w:style w:type="character" w:styleId="772" w:customStyle="1">
    <w:name w:val="Тема примечания Знак"/>
    <w:basedOn w:val="770"/>
    <w:link w:val="771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773" w:customStyle="1">
    <w:name w:val="a"/>
    <w:basedOn w:val="740"/>
    <w:pPr>
      <w:spacing w:before="100" w:beforeAutospacing="1" w:after="100" w:afterAutospacing="1"/>
    </w:pPr>
  </w:style>
  <w:style w:type="paragraph" w:styleId="774" w:customStyle="1">
    <w:name w:val="a0"/>
    <w:basedOn w:val="740"/>
    <w:pPr>
      <w:spacing w:before="100" w:beforeAutospacing="1" w:after="100" w:afterAutospacing="1"/>
    </w:pPr>
  </w:style>
  <w:style w:type="paragraph" w:styleId="775" w:customStyle="1">
    <w:name w:val="Знак Знак Знак Знак Знак"/>
    <w:basedOn w:val="740"/>
    <w:pPr>
      <w:ind w:left="432" w:hanging="432"/>
      <w:jc w:val="both"/>
      <w:spacing w:before="120" w:after="160"/>
      <w:tabs>
        <w:tab w:val="num" w:pos="432" w:leader="none"/>
      </w:tabs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styleId="776" w:customStyle="1">
    <w:name w:val="Знак Знак3"/>
    <w:rPr>
      <w:b/>
      <w:sz w:val="28"/>
    </w:rPr>
  </w:style>
  <w:style w:type="paragraph" w:styleId="777">
    <w:name w:val="List Paragraph"/>
    <w:basedOn w:val="740"/>
    <w:link w:val="778"/>
    <w:uiPriority w:val="34"/>
    <w:qFormat/>
    <w:pPr>
      <w:contextualSpacing/>
      <w:ind w:left="720"/>
      <w:widowControl w:val="off"/>
    </w:pPr>
  </w:style>
  <w:style w:type="character" w:styleId="778" w:customStyle="1">
    <w:name w:val="Абзац списка Знак"/>
    <w:link w:val="77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9">
    <w:name w:val="Body Text Indent"/>
    <w:basedOn w:val="740"/>
    <w:link w:val="780"/>
    <w:pPr>
      <w:ind w:left="283"/>
      <w:spacing w:after="120"/>
    </w:pPr>
  </w:style>
  <w:style w:type="character" w:styleId="780" w:customStyle="1">
    <w:name w:val="Основной текст с отступом Знак"/>
    <w:basedOn w:val="745"/>
    <w:link w:val="77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1" w:customStyle="1">
    <w:name w:val="ConsPlusNormal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782">
    <w:name w:val="Hyperlink"/>
    <w:rPr>
      <w:color w:val="0563c1"/>
      <w:u w:val="single"/>
    </w:rPr>
  </w:style>
  <w:style w:type="paragraph" w:styleId="783" w:customStyle="1">
    <w:name w:val="Абзац списка1"/>
    <w:basedOn w:val="740"/>
    <w:pPr>
      <w:ind w:left="720"/>
      <w:spacing w:after="200" w:line="276" w:lineRule="auto"/>
    </w:pPr>
    <w:rPr>
      <w:rFonts w:ascii="Calibri" w:hAnsi="Calibri"/>
      <w:sz w:val="22"/>
      <w:szCs w:val="20"/>
      <w:lang w:val="en-US"/>
    </w:rPr>
  </w:style>
  <w:style w:type="table" w:styleId="784">
    <w:name w:val="Table Grid"/>
    <w:basedOn w:val="746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85" w:customStyle="1">
    <w:name w:val="Font Style42"/>
    <w:uiPriority w:val="99"/>
    <w:rPr>
      <w:rFonts w:ascii="Times New Roman" w:hAnsi="Times New Roman" w:cs="Times New Roman"/>
      <w:sz w:val="22"/>
      <w:szCs w:val="22"/>
    </w:rPr>
  </w:style>
  <w:style w:type="paragraph" w:styleId="786" w:customStyle="1">
    <w:name w:val="Style12"/>
    <w:basedOn w:val="740"/>
    <w:uiPriority w:val="99"/>
    <w:pPr>
      <w:ind w:hanging="684"/>
      <w:jc w:val="both"/>
      <w:spacing w:line="276" w:lineRule="exact"/>
      <w:widowControl w:val="off"/>
    </w:pPr>
  </w:style>
  <w:style w:type="paragraph" w:styleId="787">
    <w:name w:val="Normal (Web)"/>
    <w:basedOn w:val="740"/>
    <w:uiPriority w:val="99"/>
    <w:semiHidden/>
    <w:unhideWhenUsed/>
    <w:pPr>
      <w:spacing w:before="100" w:beforeAutospacing="1" w:after="100" w:afterAutospacing="1"/>
    </w:pPr>
    <w:rPr>
      <w:rFonts w:eastAsiaTheme="minorEastAsia"/>
    </w:rPr>
  </w:style>
  <w:style w:type="character" w:styleId="788">
    <w:name w:val="Book Title"/>
    <w:basedOn w:val="745"/>
    <w:uiPriority w:val="33"/>
    <w:qFormat/>
    <w:rPr>
      <w:b/>
      <w:bCs/>
      <w:smallCaps/>
      <w:spacing w:val="5"/>
    </w:rPr>
  </w:style>
  <w:style w:type="paragraph" w:styleId="789">
    <w:name w:val="Body Text"/>
    <w:basedOn w:val="740"/>
    <w:link w:val="790"/>
    <w:pPr>
      <w:spacing w:after="120"/>
      <w:widowControl w:val="off"/>
    </w:pPr>
    <w:rPr>
      <w:sz w:val="20"/>
      <w:szCs w:val="20"/>
    </w:rPr>
  </w:style>
  <w:style w:type="character" w:styleId="790" w:customStyle="1">
    <w:name w:val="Основной текст Знак"/>
    <w:basedOn w:val="745"/>
    <w:link w:val="78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91" w:customStyle="1">
    <w:name w:val="Пункт"/>
    <w:basedOn w:val="740"/>
    <w:link w:val="792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character" w:styleId="792" w:customStyle="1">
    <w:name w:val="Пункт Знак2"/>
    <w:link w:val="79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93">
    <w:name w:val="FollowedHyperlink"/>
    <w:basedOn w:val="745"/>
    <w:uiPriority w:val="99"/>
    <w:semiHidden/>
    <w:unhideWhenUsed/>
    <w:rPr>
      <w:color w:val="954f72"/>
      <w:u w:val="single"/>
    </w:rPr>
  </w:style>
  <w:style w:type="paragraph" w:styleId="794" w:customStyle="1">
    <w:name w:val="msonormal"/>
    <w:basedOn w:val="740"/>
    <w:pPr>
      <w:spacing w:before="100" w:beforeAutospacing="1" w:after="100" w:afterAutospacing="1"/>
    </w:pPr>
  </w:style>
  <w:style w:type="paragraph" w:styleId="795" w:customStyle="1">
    <w:name w:val="font5"/>
    <w:basedOn w:val="740"/>
    <w:pPr>
      <w:spacing w:before="100" w:beforeAutospacing="1" w:after="100" w:afterAutospacing="1"/>
    </w:pPr>
    <w:rPr>
      <w:i/>
      <w:iCs/>
      <w:sz w:val="22"/>
      <w:szCs w:val="22"/>
    </w:rPr>
  </w:style>
  <w:style w:type="paragraph" w:styleId="796" w:customStyle="1">
    <w:name w:val="xl66"/>
    <w:basedOn w:val="740"/>
    <w:pPr>
      <w:spacing w:before="100" w:beforeAutospacing="1" w:after="100" w:afterAutospacing="1"/>
    </w:pPr>
  </w:style>
  <w:style w:type="paragraph" w:styleId="797" w:customStyle="1">
    <w:name w:val="xl67"/>
    <w:basedOn w:val="740"/>
    <w:pPr>
      <w:spacing w:before="100" w:beforeAutospacing="1" w:after="100" w:afterAutospacing="1"/>
    </w:pPr>
  </w:style>
  <w:style w:type="paragraph" w:styleId="798" w:customStyle="1">
    <w:name w:val="xl68"/>
    <w:basedOn w:val="74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799" w:customStyle="1">
    <w:name w:val="xl69"/>
    <w:basedOn w:val="7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00" w:customStyle="1">
    <w:name w:val="xl70"/>
    <w:basedOn w:val="7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01" w:customStyle="1">
    <w:name w:val="xl71"/>
    <w:basedOn w:val="7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02" w:customStyle="1">
    <w:name w:val="xl72"/>
    <w:basedOn w:val="74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03" w:customStyle="1">
    <w:name w:val="xl73"/>
    <w:basedOn w:val="74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04" w:customStyle="1">
    <w:name w:val="xl74"/>
    <w:basedOn w:val="7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05" w:customStyle="1">
    <w:name w:val="xl75"/>
    <w:basedOn w:val="7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806" w:customStyle="1">
    <w:name w:val="xl76"/>
    <w:basedOn w:val="740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07" w:customStyle="1">
    <w:name w:val="xl77"/>
    <w:basedOn w:val="7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808" w:customStyle="1">
    <w:name w:val="xl78"/>
    <w:basedOn w:val="740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809" w:customStyle="1">
    <w:name w:val="xl79"/>
    <w:basedOn w:val="740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810" w:customStyle="1">
    <w:name w:val="xl80"/>
    <w:basedOn w:val="74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811" w:customStyle="1">
    <w:name w:val="xl81"/>
    <w:basedOn w:val="740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812" w:customStyle="1">
    <w:name w:val="xl82"/>
    <w:basedOn w:val="74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813" w:customStyle="1">
    <w:name w:val="xl83"/>
    <w:basedOn w:val="74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814" w:customStyle="1">
    <w:name w:val="xl84"/>
    <w:basedOn w:val="7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815" w:customStyle="1">
    <w:name w:val="xl85"/>
    <w:basedOn w:val="74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816" w:customStyle="1">
    <w:name w:val="xl86"/>
    <w:basedOn w:val="74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17" w:customStyle="1">
    <w:name w:val="xl87"/>
    <w:basedOn w:val="74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character" w:styleId="818">
    <w:name w:val="footnote reference"/>
    <w:uiPriority w:val="99"/>
    <w:rPr>
      <w:vertAlign w:val="superscript"/>
    </w:rPr>
  </w:style>
  <w:style w:type="paragraph" w:styleId="819">
    <w:name w:val="footnote text"/>
    <w:basedOn w:val="740"/>
    <w:link w:val="820"/>
    <w:uiPriority w:val="99"/>
    <w:pPr>
      <w:ind w:firstLine="567"/>
      <w:jc w:val="both"/>
    </w:pPr>
    <w:rPr>
      <w:sz w:val="20"/>
      <w:szCs w:val="28"/>
    </w:rPr>
  </w:style>
  <w:style w:type="character" w:styleId="820" w:customStyle="1">
    <w:name w:val="Текст сноски Знак"/>
    <w:basedOn w:val="745"/>
    <w:link w:val="819"/>
    <w:uiPriority w:val="99"/>
    <w:rPr>
      <w:rFonts w:ascii="Times New Roman" w:hAnsi="Times New Roman" w:eastAsia="Times New Roman" w:cs="Times New Roman"/>
      <w:sz w:val="20"/>
      <w:szCs w:val="28"/>
      <w:lang w:eastAsia="ru-RU"/>
    </w:rPr>
  </w:style>
  <w:style w:type="paragraph" w:styleId="821" w:customStyle="1">
    <w:name w:val="Подпункт"/>
    <w:basedOn w:val="791"/>
    <w:rPr>
      <w:szCs w:val="28"/>
    </w:rPr>
  </w:style>
  <w:style w:type="paragraph" w:styleId="822" w:customStyle="1">
    <w:name w:val="Подподпункт"/>
    <w:basedOn w:val="821"/>
    <w:uiPriority w:val="99"/>
    <w:pPr>
      <w:ind w:left="1701" w:hanging="567"/>
      <w:tabs>
        <w:tab w:val="clear" w:pos="1134" w:leader="none"/>
        <w:tab w:val="num" w:pos="1701" w:leader="none"/>
      </w:tabs>
    </w:pPr>
  </w:style>
  <w:style w:type="character" w:styleId="823" w:customStyle="1">
    <w:name w:val="Пункт Знак1"/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Сафиуллин Артур Мансурович</dc:creator>
  <cp:keywords/>
  <dc:description/>
  <cp:revision>5</cp:revision>
  <dcterms:created xsi:type="dcterms:W3CDTF">2024-08-05T08:24:00Z</dcterms:created>
  <dcterms:modified xsi:type="dcterms:W3CDTF">2024-12-24T11:15:40Z</dcterms:modified>
</cp:coreProperties>
</file>